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E7" w:rsidRPr="00AC63D2" w:rsidRDefault="00651DE7" w:rsidP="00651DE7">
      <w:pPr>
        <w:rPr>
          <w:rFonts w:ascii="Calibri" w:eastAsia="Times New Roman" w:hAnsi="Calibri"/>
          <w:color w:val="000000"/>
          <w:szCs w:val="21"/>
        </w:rPr>
      </w:pPr>
      <w:r w:rsidRPr="00AC63D2">
        <w:rPr>
          <w:rFonts w:ascii="Calibri" w:eastAsia="Times New Roman" w:hAnsi="Calibri"/>
          <w:b/>
          <w:bCs/>
          <w:color w:val="000000"/>
          <w:szCs w:val="21"/>
        </w:rPr>
        <w:t>Golden Community Collaboration</w:t>
      </w:r>
    </w:p>
    <w:p w:rsidR="00220707" w:rsidRDefault="00220707"/>
    <w:p w:rsidR="007600CA" w:rsidRDefault="007600CA" w:rsidP="00EA3A01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Within the community of Golden (including Area A) there are over</w:t>
      </w:r>
      <w:r w:rsidR="00EA3A01">
        <w:rPr>
          <w:rFonts w:ascii="Calibri" w:eastAsia="Times New Roman" w:hAnsi="Calibri"/>
          <w:color w:val="000000"/>
          <w:sz w:val="21"/>
          <w:szCs w:val="21"/>
        </w:rPr>
        <w:t xml:space="preserve"> 100 non-profits serving </w:t>
      </w:r>
      <w:r>
        <w:rPr>
          <w:rFonts w:ascii="Calibri" w:eastAsia="Times New Roman" w:hAnsi="Calibri"/>
          <w:color w:val="000000"/>
          <w:sz w:val="21"/>
          <w:szCs w:val="21"/>
        </w:rPr>
        <w:t>roughly 7</w:t>
      </w:r>
      <w:r w:rsidR="00167DB6">
        <w:rPr>
          <w:rFonts w:ascii="Calibri" w:eastAsia="Times New Roman" w:hAnsi="Calibri"/>
          <w:color w:val="000000"/>
          <w:sz w:val="21"/>
          <w:szCs w:val="21"/>
        </w:rPr>
        <w:t>,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000 residents - </w:t>
      </w:r>
      <w:r w:rsidR="00EA3A01">
        <w:rPr>
          <w:rFonts w:ascii="Calibri" w:eastAsia="Times New Roman" w:hAnsi="Calibri"/>
          <w:color w:val="000000"/>
          <w:sz w:val="21"/>
          <w:szCs w:val="21"/>
        </w:rPr>
        <w:t>approximately 2.5 times the national per capita average number of non-profits</w:t>
      </w:r>
      <w:r>
        <w:rPr>
          <w:rFonts w:ascii="Calibri" w:eastAsia="Times New Roman" w:hAnsi="Calibri"/>
          <w:color w:val="000000"/>
          <w:sz w:val="21"/>
          <w:szCs w:val="21"/>
        </w:rPr>
        <w:t>.</w:t>
      </w:r>
    </w:p>
    <w:p w:rsidR="007600CA" w:rsidRDefault="007600CA" w:rsidP="00EA3A01">
      <w:pPr>
        <w:rPr>
          <w:rFonts w:ascii="Calibri" w:eastAsia="Times New Roman" w:hAnsi="Calibri"/>
          <w:color w:val="000000"/>
          <w:sz w:val="21"/>
          <w:szCs w:val="21"/>
        </w:rPr>
      </w:pPr>
    </w:p>
    <w:p w:rsidR="00EA3A01" w:rsidRDefault="007600CA" w:rsidP="00EA3A01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There have been many cooperative efforts between Golden non-profits over the years. Inspired by a local LIRN event in 2010</w:t>
      </w:r>
      <w:r w:rsidR="008B75DB">
        <w:rPr>
          <w:rFonts w:ascii="Calibri" w:eastAsia="Times New Roman" w:hAnsi="Calibri"/>
          <w:color w:val="000000"/>
          <w:sz w:val="21"/>
          <w:szCs w:val="21"/>
        </w:rPr>
        <w:t xml:space="preserve"> though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, the Golden &amp; Area A non-profit community began taking a closer look at </w:t>
      </w:r>
      <w:hyperlink r:id="rId6" w:history="1">
        <w:r w:rsidR="00167DB6">
          <w:rPr>
            <w:rStyle w:val="Hyperlink"/>
            <w:rFonts w:ascii="Calibri" w:eastAsia="Times New Roman" w:hAnsi="Calibri"/>
            <w:sz w:val="21"/>
            <w:szCs w:val="21"/>
          </w:rPr>
          <w:t>e</w:t>
        </w:r>
        <w:r w:rsidR="009A4503">
          <w:rPr>
            <w:rStyle w:val="Hyperlink"/>
            <w:rFonts w:ascii="Calibri" w:eastAsia="Times New Roman" w:hAnsi="Calibri"/>
            <w:sz w:val="21"/>
            <w:szCs w:val="21"/>
          </w:rPr>
          <w:t xml:space="preserve">xploring </w:t>
        </w:r>
        <w:r w:rsidR="00167DB6">
          <w:rPr>
            <w:rStyle w:val="Hyperlink"/>
            <w:rFonts w:ascii="Calibri" w:eastAsia="Times New Roman" w:hAnsi="Calibri"/>
            <w:sz w:val="21"/>
            <w:szCs w:val="21"/>
          </w:rPr>
          <w:t>e</w:t>
        </w:r>
        <w:r w:rsidR="009A4503">
          <w:rPr>
            <w:rStyle w:val="Hyperlink"/>
            <w:rFonts w:ascii="Calibri" w:eastAsia="Times New Roman" w:hAnsi="Calibri"/>
            <w:sz w:val="21"/>
            <w:szCs w:val="21"/>
          </w:rPr>
          <w:t>fficiencie</w:t>
        </w:r>
        <w:r w:rsidR="006E4708">
          <w:rPr>
            <w:rStyle w:val="Hyperlink"/>
            <w:rFonts w:ascii="Calibri" w:eastAsia="Times New Roman" w:hAnsi="Calibri"/>
            <w:sz w:val="21"/>
            <w:szCs w:val="21"/>
          </w:rPr>
          <w:t>s</w:t>
        </w:r>
      </w:hyperlink>
      <w:r w:rsidR="006E4708">
        <w:rPr>
          <w:rFonts w:ascii="Calibri" w:eastAsia="Times New Roman" w:hAnsi="Calibri"/>
          <w:color w:val="000000"/>
          <w:sz w:val="21"/>
          <w:szCs w:val="21"/>
        </w:rPr>
        <w:t xml:space="preserve">,  </w:t>
      </w:r>
      <w:hyperlink r:id="rId7" w:history="1">
        <w:r w:rsidR="00167DB6">
          <w:rPr>
            <w:rStyle w:val="Hyperlink"/>
            <w:rFonts w:ascii="Calibri" w:eastAsia="Times New Roman" w:hAnsi="Calibri"/>
            <w:sz w:val="21"/>
            <w:szCs w:val="21"/>
          </w:rPr>
          <w:t>c</w:t>
        </w:r>
        <w:r w:rsidR="006E4708">
          <w:rPr>
            <w:rStyle w:val="Hyperlink"/>
            <w:rFonts w:ascii="Calibri" w:eastAsia="Times New Roman" w:hAnsi="Calibri"/>
            <w:sz w:val="21"/>
            <w:szCs w:val="21"/>
          </w:rPr>
          <w:t>oordination</w:t>
        </w:r>
      </w:hyperlink>
      <w:r w:rsidR="006E4708">
        <w:rPr>
          <w:rFonts w:ascii="Calibri" w:eastAsia="Times New Roman" w:hAnsi="Calibri"/>
          <w:color w:val="000000"/>
          <w:sz w:val="21"/>
          <w:szCs w:val="21"/>
        </w:rPr>
        <w:t xml:space="preserve"> and  </w:t>
      </w:r>
      <w:hyperlink r:id="rId8" w:history="1">
        <w:r w:rsidR="00167DB6">
          <w:rPr>
            <w:rStyle w:val="Hyperlink"/>
            <w:rFonts w:ascii="Calibri" w:eastAsia="Times New Roman" w:hAnsi="Calibri"/>
            <w:sz w:val="21"/>
            <w:szCs w:val="21"/>
          </w:rPr>
          <w:t>community c</w:t>
        </w:r>
        <w:r w:rsidR="006E4708">
          <w:rPr>
            <w:rStyle w:val="Hyperlink"/>
            <w:rFonts w:ascii="Calibri" w:eastAsia="Times New Roman" w:hAnsi="Calibri"/>
            <w:sz w:val="21"/>
            <w:szCs w:val="21"/>
          </w:rPr>
          <w:t>ollaboration</w:t>
        </w:r>
      </w:hyperlink>
      <w:r w:rsidR="008B75DB" w:rsidRPr="008B75DB">
        <w:rPr>
          <w:rFonts w:ascii="Calibri" w:eastAsia="Times New Roman" w:hAnsi="Calibri"/>
          <w:color w:val="000000"/>
          <w:sz w:val="21"/>
          <w:szCs w:val="21"/>
        </w:rPr>
        <w:t xml:space="preserve"> </w:t>
      </w:r>
      <w:r w:rsidR="008B75DB">
        <w:rPr>
          <w:rFonts w:ascii="Calibri" w:eastAsia="Times New Roman" w:hAnsi="Calibri"/>
          <w:color w:val="000000"/>
          <w:sz w:val="21"/>
          <w:szCs w:val="21"/>
        </w:rPr>
        <w:t>among similarly-focused</w:t>
      </w:r>
      <w:r w:rsidR="00077DA4">
        <w:rPr>
          <w:rFonts w:ascii="Calibri" w:eastAsia="Times New Roman" w:hAnsi="Calibri"/>
          <w:color w:val="000000"/>
          <w:sz w:val="21"/>
          <w:szCs w:val="21"/>
        </w:rPr>
        <w:t xml:space="preserve"> non-profit</w:t>
      </w:r>
      <w:r w:rsidR="008B75DB">
        <w:rPr>
          <w:rFonts w:ascii="Calibri" w:eastAsia="Times New Roman" w:hAnsi="Calibri"/>
          <w:color w:val="000000"/>
          <w:sz w:val="21"/>
          <w:szCs w:val="21"/>
        </w:rPr>
        <w:t xml:space="preserve"> organizations.</w:t>
      </w:r>
      <w:r w:rsidR="006E4708">
        <w:rPr>
          <w:rFonts w:ascii="Calibri" w:eastAsia="Times New Roman" w:hAnsi="Calibri"/>
          <w:color w:val="000000"/>
          <w:sz w:val="21"/>
          <w:szCs w:val="21"/>
        </w:rPr>
        <w:t xml:space="preserve"> </w:t>
      </w:r>
      <w:r w:rsidR="00EA3A01">
        <w:rPr>
          <w:rFonts w:ascii="Calibri" w:eastAsia="Times New Roman" w:hAnsi="Calibri"/>
          <w:color w:val="000000"/>
          <w:sz w:val="21"/>
          <w:szCs w:val="21"/>
        </w:rPr>
        <w:t xml:space="preserve">With an appreciation  of the large number of  </w:t>
      </w:r>
      <w:r w:rsidR="006E4708">
        <w:rPr>
          <w:rFonts w:ascii="Calibri" w:eastAsia="Times New Roman" w:hAnsi="Calibri"/>
          <w:color w:val="000000"/>
          <w:sz w:val="21"/>
          <w:szCs w:val="21"/>
        </w:rPr>
        <w:t xml:space="preserve">non-profit </w:t>
      </w:r>
      <w:r w:rsidR="00A06272">
        <w:rPr>
          <w:rFonts w:ascii="Calibri" w:eastAsia="Times New Roman" w:hAnsi="Calibri"/>
          <w:color w:val="000000"/>
          <w:sz w:val="21"/>
          <w:szCs w:val="21"/>
        </w:rPr>
        <w:t>groups in our community, experts</w:t>
      </w:r>
      <w:r w:rsidR="00EA3A01">
        <w:rPr>
          <w:rFonts w:ascii="Calibri" w:eastAsia="Times New Roman" w:hAnsi="Calibri"/>
          <w:color w:val="000000"/>
          <w:sz w:val="21"/>
          <w:szCs w:val="21"/>
        </w:rPr>
        <w:t xml:space="preserve"> were brought in to help facilitate discussions around </w:t>
      </w:r>
      <w:r w:rsidR="009A4503">
        <w:rPr>
          <w:rFonts w:ascii="Calibri" w:eastAsia="Times New Roman" w:hAnsi="Calibri"/>
          <w:color w:val="000000"/>
          <w:sz w:val="21"/>
          <w:szCs w:val="21"/>
        </w:rPr>
        <w:t xml:space="preserve">collaboration. Local service providers visited </w:t>
      </w:r>
      <w:r w:rsidR="00585501">
        <w:rPr>
          <w:rFonts w:ascii="Calibri" w:eastAsia="Times New Roman" w:hAnsi="Calibri"/>
          <w:color w:val="000000"/>
          <w:sz w:val="21"/>
          <w:szCs w:val="21"/>
        </w:rPr>
        <w:t>other communities to examine how they have structured their collaborative efforts</w:t>
      </w:r>
      <w:r w:rsidR="00EA3A01">
        <w:rPr>
          <w:rFonts w:ascii="Calibri" w:eastAsia="Times New Roman" w:hAnsi="Calibri"/>
          <w:color w:val="000000"/>
          <w:sz w:val="21"/>
          <w:szCs w:val="21"/>
        </w:rPr>
        <w:t xml:space="preserve"> (e.g. Jasper, Revelstoke). </w:t>
      </w:r>
    </w:p>
    <w:p w:rsidR="009A4503" w:rsidRDefault="009A4503" w:rsidP="00EA3A01">
      <w:pPr>
        <w:rPr>
          <w:rFonts w:ascii="Calibri" w:eastAsia="Times New Roman" w:hAnsi="Calibri"/>
          <w:color w:val="000000"/>
          <w:sz w:val="21"/>
          <w:szCs w:val="21"/>
        </w:rPr>
      </w:pPr>
    </w:p>
    <w:p w:rsidR="009A4503" w:rsidRDefault="009A4503" w:rsidP="009A4503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The </w:t>
      </w:r>
      <w:hyperlink r:id="rId9" w:history="1">
        <w:r>
          <w:rPr>
            <w:rStyle w:val="Hyperlink"/>
            <w:rFonts w:ascii="Calibri" w:eastAsia="Times New Roman" w:hAnsi="Calibri"/>
            <w:sz w:val="21"/>
            <w:szCs w:val="21"/>
          </w:rPr>
          <w:t>Golden Community Resources Society</w:t>
        </w:r>
      </w:hyperlink>
      <w:r>
        <w:rPr>
          <w:rFonts w:ascii="Calibri" w:eastAsia="Times New Roman" w:hAnsi="Calibri"/>
          <w:color w:val="000000"/>
          <w:sz w:val="21"/>
          <w:szCs w:val="21"/>
        </w:rPr>
        <w:t xml:space="preserve"> has taken the lead in exploring efficiencies, coordination, and collaboration and has been involved with the following:</w:t>
      </w:r>
    </w:p>
    <w:p w:rsidR="009A4503" w:rsidRDefault="009A4503" w:rsidP="009A450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Participated in the </w:t>
      </w:r>
      <w:hyperlink r:id="rId10" w:history="1">
        <w:r>
          <w:rPr>
            <w:rStyle w:val="Hyperlink"/>
            <w:rFonts w:ascii="Calibri" w:eastAsia="Times New Roman" w:hAnsi="Calibri"/>
            <w:sz w:val="21"/>
            <w:szCs w:val="21"/>
          </w:rPr>
          <w:t>BC Non Profit Sector Labour Marketing Partnership</w:t>
        </w:r>
      </w:hyperlink>
      <w:r>
        <w:rPr>
          <w:rFonts w:ascii="Calibri" w:eastAsia="Times New Roman" w:hAnsi="Calibri"/>
          <w:color w:val="000000"/>
          <w:sz w:val="21"/>
          <w:szCs w:val="21"/>
        </w:rPr>
        <w:t xml:space="preserve"> (Ryan Watmough)</w:t>
      </w:r>
    </w:p>
    <w:p w:rsidR="009A4503" w:rsidRDefault="009A4503" w:rsidP="009A450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Participated in </w:t>
      </w:r>
      <w:hyperlink r:id="rId11" w:history="1">
        <w:r>
          <w:rPr>
            <w:rStyle w:val="Hyperlink"/>
            <w:rFonts w:ascii="Calibri" w:eastAsia="Times New Roman" w:hAnsi="Calibri"/>
            <w:sz w:val="21"/>
            <w:szCs w:val="21"/>
          </w:rPr>
          <w:t>StepUp BC</w:t>
        </w:r>
      </w:hyperlink>
      <w:r>
        <w:rPr>
          <w:rFonts w:ascii="Calibri" w:eastAsia="Times New Roman" w:hAnsi="Calibri"/>
          <w:color w:val="000000"/>
          <w:sz w:val="21"/>
          <w:szCs w:val="21"/>
        </w:rPr>
        <w:t>'s Sustainability and Emerging Leaders Working Groups (Ryan Watmough)</w:t>
      </w:r>
    </w:p>
    <w:p w:rsidR="009A4503" w:rsidRDefault="009A4503" w:rsidP="009A450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CBT's Social Sector Grants Program (Connie Barlow)</w:t>
      </w:r>
    </w:p>
    <w:p w:rsidR="009A4503" w:rsidRDefault="009A4503" w:rsidP="009A450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Created </w:t>
      </w:r>
      <w:hyperlink r:id="rId12" w:history="1">
        <w:r>
          <w:rPr>
            <w:rStyle w:val="Hyperlink"/>
            <w:rFonts w:ascii="Calibri" w:eastAsia="Times New Roman" w:hAnsi="Calibri"/>
            <w:sz w:val="21"/>
            <w:szCs w:val="21"/>
          </w:rPr>
          <w:t>GoldenLoom.ca</w:t>
        </w:r>
      </w:hyperlink>
      <w:r>
        <w:rPr>
          <w:rFonts w:ascii="Calibri" w:eastAsia="Times New Roman" w:hAnsi="Calibri"/>
          <w:color w:val="000000"/>
          <w:sz w:val="21"/>
          <w:szCs w:val="21"/>
        </w:rPr>
        <w:t> as a way of sharing our activities and knowledge with everyone – local and beyond (Ryan Watmough)</w:t>
      </w:r>
    </w:p>
    <w:p w:rsidR="009A4503" w:rsidRDefault="009A4503" w:rsidP="009A450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Hosted 6 SFU Community Economic Development (</w:t>
      </w:r>
      <w:hyperlink r:id="rId13" w:history="1">
        <w:r>
          <w:rPr>
            <w:rStyle w:val="Hyperlink"/>
            <w:rFonts w:ascii="Calibri" w:eastAsia="Times New Roman" w:hAnsi="Calibri"/>
            <w:sz w:val="21"/>
            <w:szCs w:val="21"/>
          </w:rPr>
          <w:t>CED</w:t>
        </w:r>
      </w:hyperlink>
      <w:r>
        <w:rPr>
          <w:rFonts w:ascii="Calibri" w:eastAsia="Times New Roman" w:hAnsi="Calibri"/>
          <w:color w:val="000000"/>
          <w:sz w:val="21"/>
          <w:szCs w:val="21"/>
        </w:rPr>
        <w:t>) Program Courses</w:t>
      </w:r>
    </w:p>
    <w:p w:rsidR="009A4503" w:rsidRDefault="009A4503" w:rsidP="009A450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Inspired and shared knowledge through the </w:t>
      </w:r>
      <w:hyperlink r:id="rId14" w:history="1">
        <w:r>
          <w:rPr>
            <w:rStyle w:val="Hyperlink"/>
            <w:rFonts w:ascii="Calibri" w:eastAsia="Times New Roman" w:hAnsi="Calibri"/>
            <w:sz w:val="21"/>
            <w:szCs w:val="21"/>
          </w:rPr>
          <w:t>Local Intelligence Gathering – Golden</w:t>
        </w:r>
      </w:hyperlink>
    </w:p>
    <w:p w:rsidR="009A4503" w:rsidRDefault="009A4503" w:rsidP="009A450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Participated in a number of 'capacity developing' meetings on </w:t>
      </w:r>
      <w:hyperlink r:id="rId15" w:history="1">
        <w:r>
          <w:rPr>
            <w:rStyle w:val="Hyperlink"/>
            <w:rFonts w:ascii="Calibri" w:eastAsia="Times New Roman" w:hAnsi="Calibri"/>
            <w:sz w:val="21"/>
            <w:szCs w:val="21"/>
          </w:rPr>
          <w:t>Trails</w:t>
        </w:r>
      </w:hyperlink>
      <w:r>
        <w:rPr>
          <w:rFonts w:ascii="Calibri" w:eastAsia="Times New Roman" w:hAnsi="Calibri"/>
          <w:color w:val="000000"/>
          <w:sz w:val="21"/>
          <w:szCs w:val="21"/>
        </w:rPr>
        <w:t xml:space="preserve">, Facilities and </w:t>
      </w:r>
      <w:hyperlink r:id="rId16" w:history="1">
        <w:r>
          <w:rPr>
            <w:rStyle w:val="Hyperlink"/>
            <w:rFonts w:ascii="Calibri" w:eastAsia="Times New Roman" w:hAnsi="Calibri"/>
            <w:sz w:val="21"/>
            <w:szCs w:val="21"/>
          </w:rPr>
          <w:t>Seniors</w:t>
        </w:r>
      </w:hyperlink>
      <w:r>
        <w:rPr>
          <w:rFonts w:ascii="Calibri" w:eastAsia="Times New Roman" w:hAnsi="Calibri"/>
          <w:color w:val="000000"/>
          <w:sz w:val="21"/>
          <w:szCs w:val="21"/>
        </w:rPr>
        <w:t xml:space="preserve"> (including Williams Lake's Nancy Gale)</w:t>
      </w:r>
    </w:p>
    <w:p w:rsidR="009A4503" w:rsidRDefault="009A4503" w:rsidP="009A450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Participated in a series of regular </w:t>
      </w:r>
      <w:hyperlink r:id="rId17" w:history="1">
        <w:r>
          <w:rPr>
            <w:rStyle w:val="Hyperlink"/>
            <w:rFonts w:ascii="Calibri" w:eastAsia="Times New Roman" w:hAnsi="Calibri"/>
            <w:sz w:val="21"/>
            <w:szCs w:val="21"/>
          </w:rPr>
          <w:t>Health &amp; Social Services meetings</w:t>
        </w:r>
      </w:hyperlink>
      <w:r>
        <w:rPr>
          <w:rFonts w:ascii="Calibri" w:eastAsia="Times New Roman" w:hAnsi="Calibri"/>
          <w:color w:val="000000"/>
          <w:sz w:val="21"/>
          <w:szCs w:val="21"/>
        </w:rPr>
        <w:t xml:space="preserve">, with the Golden &amp; District Community Foundation (GDCF), Food Bank, </w:t>
      </w:r>
      <w:r w:rsidR="00E276FF">
        <w:rPr>
          <w:rFonts w:ascii="Calibri" w:eastAsia="Times New Roman" w:hAnsi="Calibri"/>
          <w:color w:val="000000"/>
          <w:sz w:val="21"/>
          <w:szCs w:val="21"/>
        </w:rPr>
        <w:t>Women's Centre and Family Center</w:t>
      </w:r>
      <w:r>
        <w:rPr>
          <w:rFonts w:ascii="Calibri" w:eastAsia="Times New Roman" w:hAnsi="Calibri"/>
          <w:color w:val="000000"/>
          <w:sz w:val="21"/>
          <w:szCs w:val="21"/>
        </w:rPr>
        <w:t> </w:t>
      </w:r>
    </w:p>
    <w:p w:rsidR="009A4503" w:rsidRDefault="009A4503" w:rsidP="009A450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Participated in the creation of Golden's Age Friendly Community Team</w:t>
      </w:r>
    </w:p>
    <w:p w:rsidR="009A4503" w:rsidRDefault="009A4503" w:rsidP="009A450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Supported Golden's </w:t>
      </w:r>
      <w:hyperlink r:id="rId18" w:history="1">
        <w:r>
          <w:rPr>
            <w:rStyle w:val="Hyperlink"/>
            <w:rFonts w:ascii="Calibri" w:eastAsia="Times New Roman" w:hAnsi="Calibri"/>
            <w:sz w:val="21"/>
            <w:szCs w:val="21"/>
          </w:rPr>
          <w:t>Living Wage Calculations</w:t>
        </w:r>
      </w:hyperlink>
      <w:r>
        <w:rPr>
          <w:rFonts w:ascii="Calibri" w:eastAsia="Times New Roman" w:hAnsi="Calibri"/>
          <w:color w:val="000000"/>
          <w:sz w:val="21"/>
          <w:szCs w:val="21"/>
        </w:rPr>
        <w:t xml:space="preserve"> (GFBS's Stephanie Findlater)</w:t>
      </w:r>
    </w:p>
    <w:p w:rsidR="009A4503" w:rsidRDefault="009A4503" w:rsidP="009A4503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Provided Research and Analysis for </w:t>
      </w:r>
      <w:hyperlink r:id="rId19" w:history="1">
        <w:r>
          <w:rPr>
            <w:rStyle w:val="Hyperlink"/>
            <w:rFonts w:ascii="Calibri" w:eastAsia="Times New Roman" w:hAnsi="Calibri"/>
            <w:sz w:val="21"/>
            <w:szCs w:val="21"/>
          </w:rPr>
          <w:t>Golden &amp; Area A's Vital Signs 2014 Report</w:t>
        </w:r>
      </w:hyperlink>
      <w:r>
        <w:rPr>
          <w:rFonts w:ascii="Calibri" w:eastAsia="Times New Roman" w:hAnsi="Calibri"/>
          <w:color w:val="000000"/>
          <w:sz w:val="21"/>
          <w:szCs w:val="21"/>
        </w:rPr>
        <w:t>, which is one of the few community-wide guiding documents Golden has produced in recent years.</w:t>
      </w:r>
    </w:p>
    <w:p w:rsidR="00F03D5C" w:rsidRDefault="006E4708" w:rsidP="00EA3A01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Within the large group of non-profits in Golden, there is </w:t>
      </w:r>
      <w:r w:rsidR="00610D65">
        <w:rPr>
          <w:rFonts w:ascii="Calibri" w:eastAsia="Times New Roman" w:hAnsi="Calibri"/>
          <w:color w:val="000000"/>
          <w:sz w:val="21"/>
          <w:szCs w:val="21"/>
        </w:rPr>
        <w:t>a small</w:t>
      </w:r>
      <w:r>
        <w:rPr>
          <w:rFonts w:ascii="Calibri" w:eastAsia="Times New Roman" w:hAnsi="Calibri"/>
          <w:color w:val="000000"/>
          <w:sz w:val="21"/>
          <w:szCs w:val="21"/>
        </w:rPr>
        <w:t>er</w:t>
      </w:r>
      <w:r w:rsidR="00610D65">
        <w:rPr>
          <w:rFonts w:ascii="Calibri" w:eastAsia="Times New Roman" w:hAnsi="Calibri"/>
          <w:color w:val="000000"/>
          <w:sz w:val="21"/>
          <w:szCs w:val="21"/>
        </w:rPr>
        <w:t xml:space="preserve"> group of non-profits that provide</w:t>
      </w:r>
      <w:r>
        <w:rPr>
          <w:rFonts w:ascii="Calibri" w:eastAsia="Times New Roman" w:hAnsi="Calibri"/>
          <w:color w:val="000000"/>
          <w:sz w:val="21"/>
          <w:szCs w:val="21"/>
        </w:rPr>
        <w:t>s</w:t>
      </w:r>
      <w:r w:rsidR="00610D65">
        <w:rPr>
          <w:rFonts w:ascii="Calibri" w:eastAsia="Times New Roman" w:hAnsi="Calibri"/>
          <w:color w:val="000000"/>
          <w:sz w:val="21"/>
          <w:szCs w:val="21"/>
        </w:rPr>
        <w:t xml:space="preserve"> so</w:t>
      </w:r>
      <w:r>
        <w:rPr>
          <w:rFonts w:ascii="Calibri" w:eastAsia="Times New Roman" w:hAnsi="Calibri"/>
          <w:color w:val="000000"/>
          <w:sz w:val="21"/>
          <w:szCs w:val="21"/>
        </w:rPr>
        <w:t>cial services to the community</w:t>
      </w:r>
      <w:r w:rsidR="00A06272">
        <w:rPr>
          <w:rFonts w:ascii="Calibri" w:eastAsia="Times New Roman" w:hAnsi="Calibri"/>
          <w:color w:val="000000"/>
          <w:sz w:val="21"/>
          <w:szCs w:val="21"/>
        </w:rPr>
        <w:t xml:space="preserve">, and three of these provide services </w:t>
      </w:r>
      <w:r>
        <w:rPr>
          <w:rFonts w:ascii="Calibri" w:eastAsia="Times New Roman" w:hAnsi="Calibri"/>
          <w:color w:val="000000"/>
          <w:sz w:val="21"/>
          <w:szCs w:val="21"/>
        </w:rPr>
        <w:t>under contract with the provincial government: the Golden Community Resour</w:t>
      </w:r>
      <w:r w:rsidR="001D012D">
        <w:rPr>
          <w:rFonts w:ascii="Calibri" w:eastAsia="Times New Roman" w:hAnsi="Calibri"/>
          <w:color w:val="000000"/>
          <w:sz w:val="21"/>
          <w:szCs w:val="21"/>
        </w:rPr>
        <w:t>ces Society,</w:t>
      </w:r>
      <w:r w:rsidR="00F03D5C">
        <w:rPr>
          <w:rStyle w:val="apple-style-span"/>
          <w:rFonts w:ascii="Calibri" w:eastAsia="Times New Roman" w:hAnsi="Calibri"/>
          <w:color w:val="000000"/>
          <w:sz w:val="21"/>
          <w:szCs w:val="21"/>
        </w:rPr>
        <w:t xml:space="preserve"> the </w:t>
      </w:r>
      <w:hyperlink r:id="rId20" w:history="1">
        <w:r w:rsidR="00F03D5C">
          <w:rPr>
            <w:rStyle w:val="Hyperlink"/>
            <w:rFonts w:ascii="Calibri" w:eastAsia="Times New Roman" w:hAnsi="Calibri"/>
            <w:sz w:val="21"/>
            <w:szCs w:val="21"/>
          </w:rPr>
          <w:t>Golden Family Center Society</w:t>
        </w:r>
      </w:hyperlink>
      <w:r w:rsidR="00D80824">
        <w:rPr>
          <w:rStyle w:val="apple-style-span"/>
          <w:rFonts w:ascii="Calibri" w:eastAsia="Times New Roman" w:hAnsi="Calibri"/>
          <w:color w:val="000000"/>
          <w:sz w:val="21"/>
          <w:szCs w:val="21"/>
        </w:rPr>
        <w:t xml:space="preserve"> and</w:t>
      </w:r>
      <w:r w:rsidR="00F03D5C">
        <w:rPr>
          <w:rStyle w:val="apple-style-span"/>
          <w:rFonts w:ascii="Calibri" w:eastAsia="Times New Roman" w:hAnsi="Calibri"/>
          <w:color w:val="000000"/>
          <w:sz w:val="21"/>
          <w:szCs w:val="21"/>
        </w:rPr>
        <w:t xml:space="preserve"> </w:t>
      </w:r>
      <w:r w:rsidR="009A4503">
        <w:rPr>
          <w:rFonts w:ascii="Calibri" w:eastAsia="Times New Roman" w:hAnsi="Calibri"/>
          <w:color w:val="000000"/>
          <w:sz w:val="21"/>
          <w:szCs w:val="21"/>
        </w:rPr>
        <w:t>t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he </w:t>
      </w:r>
      <w:hyperlink r:id="rId21" w:history="1">
        <w:r w:rsidR="003A642F">
          <w:rPr>
            <w:rStyle w:val="Hyperlink"/>
            <w:rFonts w:ascii="Calibri" w:eastAsia="Times New Roman" w:hAnsi="Calibri"/>
            <w:sz w:val="21"/>
            <w:szCs w:val="21"/>
          </w:rPr>
          <w:t>Golden Women's Resource Centre</w:t>
        </w:r>
      </w:hyperlink>
      <w:r w:rsidR="00E745D0">
        <w:rPr>
          <w:rFonts w:ascii="Calibri" w:eastAsia="Times New Roman" w:hAnsi="Calibri"/>
          <w:color w:val="000000"/>
          <w:sz w:val="21"/>
          <w:szCs w:val="21"/>
        </w:rPr>
        <w:t>.</w:t>
      </w:r>
    </w:p>
    <w:p w:rsidR="00E745D0" w:rsidRDefault="00E745D0" w:rsidP="00EA3A01">
      <w:pPr>
        <w:rPr>
          <w:rFonts w:ascii="Calibri" w:eastAsia="Times New Roman" w:hAnsi="Calibri"/>
          <w:color w:val="000000"/>
          <w:sz w:val="21"/>
          <w:szCs w:val="21"/>
        </w:rPr>
      </w:pPr>
    </w:p>
    <w:p w:rsidR="00F03D5C" w:rsidRDefault="00F03D5C" w:rsidP="00EA3A01">
      <w:pPr>
        <w:rPr>
          <w:rFonts w:ascii="Calibri" w:eastAsia="Times New Roman" w:hAnsi="Calibri"/>
          <w:color w:val="000000"/>
          <w:sz w:val="21"/>
          <w:szCs w:val="21"/>
        </w:rPr>
      </w:pPr>
    </w:p>
    <w:p w:rsidR="00585501" w:rsidRDefault="009A4503" w:rsidP="00EA3A01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The Golden Community Resource Society is the largest social service organization in Golden &amp; Area A (by budget size and number of staff), with social service programs directed to a wide range of groups and ages. The Golden Family Center Society </w:t>
      </w:r>
      <w:r w:rsidR="00A709D5">
        <w:rPr>
          <w:rFonts w:ascii="Calibri" w:eastAsia="Times New Roman" w:hAnsi="Calibri"/>
          <w:color w:val="000000"/>
          <w:sz w:val="21"/>
          <w:szCs w:val="21"/>
        </w:rPr>
        <w:t xml:space="preserve">is second in size, and the Golden Women’s Centre Society </w:t>
      </w:r>
      <w:r w:rsidR="00D80824">
        <w:rPr>
          <w:rFonts w:ascii="Calibri" w:eastAsia="Times New Roman" w:hAnsi="Calibri"/>
          <w:color w:val="000000"/>
          <w:sz w:val="21"/>
          <w:szCs w:val="21"/>
        </w:rPr>
        <w:t>is the smallest.</w:t>
      </w:r>
    </w:p>
    <w:p w:rsidR="00D80824" w:rsidRDefault="00D80824" w:rsidP="00EA3A01">
      <w:pPr>
        <w:rPr>
          <w:rFonts w:ascii="Calibri" w:eastAsia="Times New Roman" w:hAnsi="Calibri"/>
          <w:color w:val="000000"/>
          <w:sz w:val="21"/>
          <w:szCs w:val="21"/>
        </w:rPr>
      </w:pPr>
    </w:p>
    <w:p w:rsidR="00D80824" w:rsidRDefault="00D80824" w:rsidP="00EA3A01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These three non-profits have </w:t>
      </w:r>
      <w:r w:rsidR="00683ED1">
        <w:rPr>
          <w:rFonts w:ascii="Calibri" w:eastAsia="Times New Roman" w:hAnsi="Calibri"/>
          <w:color w:val="000000"/>
          <w:sz w:val="21"/>
          <w:szCs w:val="21"/>
        </w:rPr>
        <w:t>partnered on many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programs over the years</w:t>
      </w:r>
      <w:r w:rsidR="00683ED1">
        <w:rPr>
          <w:rFonts w:ascii="Calibri" w:eastAsia="Times New Roman" w:hAnsi="Calibri"/>
          <w:color w:val="000000"/>
          <w:sz w:val="21"/>
          <w:szCs w:val="21"/>
        </w:rPr>
        <w:t xml:space="preserve"> (SUPP, ELCSAG, Youth and Men’s services, etc.)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, </w:t>
      </w:r>
      <w:r w:rsidR="00683ED1">
        <w:rPr>
          <w:rFonts w:ascii="Calibri" w:eastAsia="Times New Roman" w:hAnsi="Calibri"/>
          <w:color w:val="000000"/>
          <w:sz w:val="21"/>
          <w:szCs w:val="21"/>
        </w:rPr>
        <w:t>together with other community partners, but have not yet looked in-depth at structural change options</w:t>
      </w:r>
      <w:r w:rsidR="00AC63D2">
        <w:rPr>
          <w:rFonts w:ascii="Calibri" w:eastAsia="Times New Roman" w:hAnsi="Calibri"/>
          <w:color w:val="000000"/>
          <w:sz w:val="21"/>
          <w:szCs w:val="21"/>
        </w:rPr>
        <w:t xml:space="preserve">, and how structural changes may support the overall </w:t>
      </w:r>
      <w:r w:rsidR="00E745D0">
        <w:rPr>
          <w:rFonts w:ascii="Calibri" w:eastAsia="Times New Roman" w:hAnsi="Calibri"/>
          <w:color w:val="000000"/>
          <w:sz w:val="21"/>
          <w:szCs w:val="21"/>
        </w:rPr>
        <w:t xml:space="preserve">sustainability, </w:t>
      </w:r>
      <w:r w:rsidR="00AC63D2">
        <w:rPr>
          <w:rFonts w:ascii="Calibri" w:eastAsia="Times New Roman" w:hAnsi="Calibri"/>
          <w:color w:val="000000"/>
          <w:sz w:val="21"/>
          <w:szCs w:val="21"/>
        </w:rPr>
        <w:t>availability and quality of services for community residents.</w:t>
      </w:r>
    </w:p>
    <w:p w:rsidR="009A4503" w:rsidRDefault="009A4503" w:rsidP="00EA3A01">
      <w:pPr>
        <w:rPr>
          <w:rFonts w:ascii="Calibri" w:eastAsia="Times New Roman" w:hAnsi="Calibri"/>
          <w:color w:val="000000"/>
          <w:sz w:val="21"/>
          <w:szCs w:val="21"/>
        </w:rPr>
      </w:pPr>
    </w:p>
    <w:p w:rsidR="00AC63D2" w:rsidRDefault="00AC63D2" w:rsidP="00EA3A01">
      <w:pPr>
        <w:rPr>
          <w:rFonts w:ascii="Calibri" w:eastAsia="Times New Roman" w:hAnsi="Calibri"/>
          <w:color w:val="000000"/>
          <w:sz w:val="21"/>
          <w:szCs w:val="21"/>
        </w:rPr>
      </w:pPr>
    </w:p>
    <w:p w:rsidR="00AC63D2" w:rsidRDefault="00AC63D2" w:rsidP="00EA3A01">
      <w:pPr>
        <w:rPr>
          <w:rFonts w:ascii="Calibri" w:eastAsia="Times New Roman" w:hAnsi="Calibri"/>
          <w:color w:val="000000"/>
          <w:sz w:val="21"/>
          <w:szCs w:val="21"/>
        </w:rPr>
      </w:pPr>
    </w:p>
    <w:p w:rsidR="000D5AA1" w:rsidRPr="003A642F" w:rsidRDefault="00AC63D2" w:rsidP="00EA3A01">
      <w:pPr>
        <w:rPr>
          <w:rFonts w:ascii="Calibri" w:eastAsia="Times New Roman" w:hAnsi="Calibri"/>
          <w:color w:val="000000"/>
          <w:sz w:val="18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ab/>
      </w:r>
      <w:r>
        <w:rPr>
          <w:rFonts w:ascii="Calibri" w:eastAsia="Times New Roman" w:hAnsi="Calibri"/>
          <w:color w:val="000000"/>
          <w:sz w:val="21"/>
          <w:szCs w:val="21"/>
        </w:rPr>
        <w:tab/>
      </w:r>
      <w:r>
        <w:rPr>
          <w:rFonts w:ascii="Calibri" w:eastAsia="Times New Roman" w:hAnsi="Calibri"/>
          <w:color w:val="000000"/>
          <w:sz w:val="21"/>
          <w:szCs w:val="21"/>
        </w:rPr>
        <w:tab/>
      </w:r>
      <w:r>
        <w:rPr>
          <w:rFonts w:ascii="Calibri" w:eastAsia="Times New Roman" w:hAnsi="Calibri"/>
          <w:color w:val="000000"/>
          <w:sz w:val="21"/>
          <w:szCs w:val="21"/>
        </w:rPr>
        <w:tab/>
      </w:r>
      <w:r>
        <w:rPr>
          <w:rFonts w:ascii="Calibri" w:eastAsia="Times New Roman" w:hAnsi="Calibri"/>
          <w:color w:val="000000"/>
          <w:sz w:val="21"/>
          <w:szCs w:val="21"/>
        </w:rPr>
        <w:tab/>
      </w:r>
      <w:r>
        <w:rPr>
          <w:rFonts w:ascii="Calibri" w:eastAsia="Times New Roman" w:hAnsi="Calibri"/>
          <w:color w:val="000000"/>
          <w:sz w:val="21"/>
          <w:szCs w:val="21"/>
        </w:rPr>
        <w:tab/>
      </w:r>
      <w:r>
        <w:rPr>
          <w:rFonts w:ascii="Calibri" w:eastAsia="Times New Roman" w:hAnsi="Calibri"/>
          <w:color w:val="000000"/>
          <w:sz w:val="21"/>
          <w:szCs w:val="21"/>
        </w:rPr>
        <w:tab/>
      </w:r>
      <w:r>
        <w:rPr>
          <w:rFonts w:ascii="Calibri" w:eastAsia="Times New Roman" w:hAnsi="Calibri"/>
          <w:color w:val="000000"/>
          <w:sz w:val="21"/>
          <w:szCs w:val="21"/>
        </w:rPr>
        <w:tab/>
      </w:r>
      <w:r>
        <w:rPr>
          <w:rFonts w:ascii="Calibri" w:eastAsia="Times New Roman" w:hAnsi="Calibri"/>
          <w:color w:val="000000"/>
          <w:sz w:val="21"/>
          <w:szCs w:val="21"/>
        </w:rPr>
        <w:tab/>
      </w:r>
      <w:r>
        <w:rPr>
          <w:rFonts w:ascii="Calibri" w:eastAsia="Times New Roman" w:hAnsi="Calibri"/>
          <w:color w:val="000000"/>
          <w:sz w:val="21"/>
          <w:szCs w:val="21"/>
        </w:rPr>
        <w:tab/>
      </w:r>
      <w:r>
        <w:rPr>
          <w:rFonts w:ascii="Calibri" w:eastAsia="Times New Roman" w:hAnsi="Calibri"/>
          <w:color w:val="000000"/>
          <w:sz w:val="21"/>
          <w:szCs w:val="21"/>
        </w:rPr>
        <w:tab/>
      </w:r>
      <w:r w:rsidRPr="00AC63D2">
        <w:rPr>
          <w:rFonts w:ascii="Calibri" w:eastAsia="Times New Roman" w:hAnsi="Calibri"/>
          <w:color w:val="000000"/>
          <w:sz w:val="18"/>
          <w:szCs w:val="21"/>
        </w:rPr>
        <w:t>March 2015</w:t>
      </w:r>
    </w:p>
    <w:p w:rsidR="00651DE7" w:rsidRDefault="00651DE7">
      <w:bookmarkStart w:id="0" w:name="_GoBack"/>
      <w:bookmarkEnd w:id="0"/>
    </w:p>
    <w:sectPr w:rsidR="0065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6FA6"/>
    <w:multiLevelType w:val="multilevel"/>
    <w:tmpl w:val="FD22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SortMethod w:val="000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E7"/>
    <w:rsid w:val="00077DA4"/>
    <w:rsid w:val="000D5AA1"/>
    <w:rsid w:val="00167DB6"/>
    <w:rsid w:val="001D012D"/>
    <w:rsid w:val="00220707"/>
    <w:rsid w:val="002610C1"/>
    <w:rsid w:val="003A642F"/>
    <w:rsid w:val="00585501"/>
    <w:rsid w:val="00610D65"/>
    <w:rsid w:val="00651DE7"/>
    <w:rsid w:val="00683ED1"/>
    <w:rsid w:val="00697D79"/>
    <w:rsid w:val="006E4708"/>
    <w:rsid w:val="007600CA"/>
    <w:rsid w:val="008B75DB"/>
    <w:rsid w:val="009A4503"/>
    <w:rsid w:val="009A4E03"/>
    <w:rsid w:val="00A06272"/>
    <w:rsid w:val="00A709D5"/>
    <w:rsid w:val="00AC63D2"/>
    <w:rsid w:val="00B563C4"/>
    <w:rsid w:val="00D80824"/>
    <w:rsid w:val="00E276FF"/>
    <w:rsid w:val="00E437C4"/>
    <w:rsid w:val="00E745D0"/>
    <w:rsid w:val="00EA3A01"/>
    <w:rsid w:val="00F03D5C"/>
    <w:rsid w:val="00F5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E7"/>
    <w:pPr>
      <w:spacing w:after="0" w:line="240" w:lineRule="auto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A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A01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F03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E7"/>
    <w:pPr>
      <w:spacing w:after="0" w:line="240" w:lineRule="auto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A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A01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F03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enloom.ca/phase-3-collaboration.html" TargetMode="External"/><Relationship Id="rId13" Type="http://schemas.openxmlformats.org/officeDocument/2006/relationships/hyperlink" Target="https://www.youtube.com/watch?v=RLcKIiA4LmM" TargetMode="External"/><Relationship Id="rId18" Type="http://schemas.openxmlformats.org/officeDocument/2006/relationships/hyperlink" Target="https://www.youtube.com/watch?v=QKI7lHz9h_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ldenwomencentre.ca/" TargetMode="External"/><Relationship Id="rId7" Type="http://schemas.openxmlformats.org/officeDocument/2006/relationships/hyperlink" Target="http://www.goldenloom.ca/phase-2-coordination.html" TargetMode="External"/><Relationship Id="rId12" Type="http://schemas.openxmlformats.org/officeDocument/2006/relationships/hyperlink" Target="http://GoldenLoom.ca" TargetMode="External"/><Relationship Id="rId17" Type="http://schemas.openxmlformats.org/officeDocument/2006/relationships/hyperlink" Target="http://www.goldenloom.ca/health--social-servic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ldenloom.ca/seniors.html" TargetMode="External"/><Relationship Id="rId20" Type="http://schemas.openxmlformats.org/officeDocument/2006/relationships/hyperlink" Target="http://goldenfamilycenter.bc.c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ldenloom.ca/phase-1-exploration.html" TargetMode="External"/><Relationship Id="rId11" Type="http://schemas.openxmlformats.org/officeDocument/2006/relationships/hyperlink" Target="http://stepupbc.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ldenloom.ca/trail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vancouverfoundation.ca/non-profit-sector-labour-market-partnership-project" TargetMode="External"/><Relationship Id="rId19" Type="http://schemas.openxmlformats.org/officeDocument/2006/relationships/hyperlink" Target="http://www.goldencommunityfoundation.ca/vitalsig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ldencommunityresources.ca/" TargetMode="External"/><Relationship Id="rId14" Type="http://schemas.openxmlformats.org/officeDocument/2006/relationships/hyperlink" Target="https://www.youtube.com/c/goldencommunityresources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20</cp:revision>
  <dcterms:created xsi:type="dcterms:W3CDTF">2015-03-03T15:53:00Z</dcterms:created>
  <dcterms:modified xsi:type="dcterms:W3CDTF">2015-03-06T16:29:00Z</dcterms:modified>
</cp:coreProperties>
</file>